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>A projekt azonosítószáma: TOP-</w:t>
      </w:r>
      <w:r>
        <w:rPr>
          <w:rFonts w:ascii="Cambria" w:hAnsi="Cambria"/>
          <w:b/>
          <w:bCs/>
        </w:rPr>
        <w:t>2</w:t>
      </w:r>
      <w:r w:rsidRPr="00646253">
        <w:rPr>
          <w:rFonts w:ascii="Cambria" w:hAnsi="Cambria"/>
          <w:b/>
          <w:bCs/>
        </w:rPr>
        <w:t>.1.3-1</w:t>
      </w:r>
      <w:r>
        <w:rPr>
          <w:rFonts w:ascii="Cambria" w:hAnsi="Cambria"/>
          <w:b/>
          <w:bCs/>
        </w:rPr>
        <w:t>6</w:t>
      </w:r>
      <w:r w:rsidRPr="00646253">
        <w:rPr>
          <w:rFonts w:ascii="Cambria" w:hAnsi="Cambria"/>
          <w:b/>
          <w:bCs/>
        </w:rPr>
        <w:t>-HE1-201</w:t>
      </w:r>
      <w:r>
        <w:rPr>
          <w:rFonts w:ascii="Cambria" w:hAnsi="Cambria"/>
          <w:b/>
          <w:bCs/>
        </w:rPr>
        <w:t>7</w:t>
      </w:r>
      <w:r w:rsidRPr="00646253">
        <w:rPr>
          <w:rFonts w:ascii="Cambria" w:hAnsi="Cambria"/>
          <w:b/>
          <w:bCs/>
        </w:rPr>
        <w:t>-0000</w:t>
      </w:r>
      <w:r>
        <w:rPr>
          <w:rFonts w:ascii="Cambria" w:hAnsi="Cambria"/>
          <w:b/>
          <w:bCs/>
        </w:rPr>
        <w:t>2</w:t>
      </w:r>
    </w:p>
    <w:p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 xml:space="preserve">Kedvezményezett neve: </w:t>
      </w:r>
      <w:r>
        <w:rPr>
          <w:rFonts w:ascii="Cambria" w:hAnsi="Cambria"/>
          <w:b/>
          <w:bCs/>
        </w:rPr>
        <w:t>Parád Nagyk</w:t>
      </w:r>
      <w:r w:rsidRPr="00646253">
        <w:rPr>
          <w:rFonts w:ascii="Cambria" w:hAnsi="Cambria"/>
          <w:b/>
          <w:bCs/>
        </w:rPr>
        <w:t>özségi Önkormányzat</w:t>
      </w:r>
    </w:p>
    <w:p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 xml:space="preserve">A projekt címe: </w:t>
      </w:r>
      <w:r>
        <w:rPr>
          <w:rFonts w:ascii="Cambria" w:hAnsi="Cambria"/>
          <w:b/>
          <w:bCs/>
        </w:rPr>
        <w:t>Csapadékvíz-elvezetés a Kékesi úto</w:t>
      </w:r>
      <w:r w:rsidRPr="00646253">
        <w:rPr>
          <w:rFonts w:ascii="Cambria" w:hAnsi="Cambria"/>
          <w:b/>
          <w:bCs/>
        </w:rPr>
        <w:t>n</w:t>
      </w:r>
    </w:p>
    <w:p w:rsidR="005367E5" w:rsidRPr="00E00A04" w:rsidRDefault="005367E5" w:rsidP="005367E5">
      <w:pPr>
        <w:spacing w:after="120"/>
        <w:rPr>
          <w:rFonts w:ascii="Cambria" w:hAnsi="Cambria"/>
          <w:b/>
          <w:bCs/>
        </w:rPr>
      </w:pPr>
      <w:r w:rsidRPr="00E00A04">
        <w:rPr>
          <w:rFonts w:ascii="Cambria" w:hAnsi="Cambria"/>
          <w:b/>
          <w:bCs/>
        </w:rPr>
        <w:t xml:space="preserve">A támogatás összege: </w:t>
      </w:r>
      <w:r>
        <w:rPr>
          <w:rFonts w:ascii="Cambria" w:hAnsi="Cambria"/>
          <w:b/>
          <w:bCs/>
        </w:rPr>
        <w:t>119</w:t>
      </w:r>
      <w:r w:rsidRPr="00E00A04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886</w:t>
      </w:r>
      <w:r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590</w:t>
      </w:r>
      <w:r>
        <w:rPr>
          <w:rFonts w:ascii="Cambria" w:hAnsi="Cambria"/>
          <w:b/>
          <w:bCs/>
        </w:rPr>
        <w:t xml:space="preserve"> Ft.</w:t>
      </w:r>
    </w:p>
    <w:p w:rsidR="005367E5" w:rsidRDefault="005367E5" w:rsidP="005367E5">
      <w:pPr>
        <w:spacing w:after="120"/>
        <w:rPr>
          <w:rFonts w:ascii="Cambria" w:hAnsi="Cambria"/>
          <w:b/>
          <w:bCs/>
        </w:rPr>
      </w:pPr>
      <w:r w:rsidRPr="00E00A04">
        <w:rPr>
          <w:rFonts w:ascii="Cambria" w:hAnsi="Cambria"/>
          <w:b/>
          <w:bCs/>
        </w:rPr>
        <w:t>A támogatás mértéke: 100%</w:t>
      </w:r>
      <w:r>
        <w:rPr>
          <w:rFonts w:ascii="Cambria" w:hAnsi="Cambria"/>
          <w:b/>
          <w:bCs/>
        </w:rPr>
        <w:t>.</w:t>
      </w:r>
    </w:p>
    <w:p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>A projekt kezdete: 201</w:t>
      </w:r>
      <w:r>
        <w:rPr>
          <w:rFonts w:ascii="Cambria" w:hAnsi="Cambria"/>
          <w:b/>
          <w:bCs/>
        </w:rPr>
        <w:t>8</w:t>
      </w:r>
      <w:r w:rsidRPr="00646253">
        <w:rPr>
          <w:rFonts w:ascii="Cambria" w:hAnsi="Cambria"/>
          <w:b/>
          <w:bCs/>
        </w:rPr>
        <w:t>.0</w:t>
      </w:r>
      <w:r>
        <w:rPr>
          <w:rFonts w:ascii="Cambria" w:hAnsi="Cambria"/>
          <w:b/>
          <w:bCs/>
        </w:rPr>
        <w:t>4</w:t>
      </w:r>
      <w:r w:rsidRPr="00646253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01</w:t>
      </w:r>
      <w:r w:rsidRPr="00646253">
        <w:rPr>
          <w:rFonts w:ascii="Cambria" w:hAnsi="Cambria"/>
          <w:b/>
          <w:bCs/>
        </w:rPr>
        <w:t>.</w:t>
      </w:r>
    </w:p>
    <w:p w:rsidR="005367E5" w:rsidRPr="00646253" w:rsidRDefault="005367E5" w:rsidP="005367E5">
      <w:pPr>
        <w:spacing w:after="120"/>
        <w:rPr>
          <w:rFonts w:ascii="Cambria" w:hAnsi="Cambria"/>
          <w:b/>
          <w:bCs/>
        </w:rPr>
      </w:pPr>
      <w:r w:rsidRPr="00646253">
        <w:rPr>
          <w:rFonts w:ascii="Cambria" w:hAnsi="Cambria"/>
          <w:b/>
          <w:bCs/>
        </w:rPr>
        <w:t xml:space="preserve">A projekt </w:t>
      </w:r>
      <w:r>
        <w:rPr>
          <w:rFonts w:ascii="Cambria" w:hAnsi="Cambria"/>
          <w:b/>
          <w:bCs/>
        </w:rPr>
        <w:t>befejezés</w:t>
      </w:r>
      <w:r w:rsidRPr="00646253">
        <w:rPr>
          <w:rFonts w:ascii="Cambria" w:hAnsi="Cambria"/>
          <w:b/>
          <w:bCs/>
        </w:rPr>
        <w:t>e: 2019.11.30.</w:t>
      </w:r>
    </w:p>
    <w:p w:rsidR="005367E5" w:rsidRPr="005367E5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5367E5" w:rsidRPr="005367E5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A projekt megvalósítása során Parád Nagyközség 2 utcájában (Kékesi út és Hársfa utca) kerül</w:t>
      </w:r>
      <w:r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 xml:space="preserve"> fejlesztésre a csapadékvíz-elvezető rendszer. A meglévő földárkok és leromlott burkolt árkok nyomvonalán előregyártott elemes burkoltárkok épül</w:t>
      </w:r>
      <w:r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ek, járda és burkolatok alatt 40 cm beton áteresszel. Az előregyártott elemek 10 cm v</w:t>
      </w:r>
      <w:r w:rsidRPr="005F6EAC">
        <w:rPr>
          <w:rFonts w:ascii="Cambria" w:hAnsi="Cambria" w:cs="Arial"/>
          <w:sz w:val="24"/>
          <w:szCs w:val="24"/>
        </w:rPr>
        <w:t>as</w:t>
      </w:r>
      <w:r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a</w:t>
      </w:r>
      <w:r w:rsidRPr="005F6EAC">
        <w:rPr>
          <w:rFonts w:ascii="Cambria" w:hAnsi="Cambria" w:cs="Arial"/>
          <w:sz w:val="24"/>
          <w:szCs w:val="24"/>
        </w:rPr>
        <w:t>g</w:t>
      </w:r>
      <w:r w:rsidRPr="005F6EAC">
        <w:rPr>
          <w:rFonts w:ascii="Cambria" w:hAnsi="Cambria" w:cs="Arial"/>
          <w:sz w:val="24"/>
          <w:szCs w:val="24"/>
        </w:rPr>
        <w:t>ságú</w:t>
      </w:r>
      <w:r w:rsidRPr="005F6EAC">
        <w:rPr>
          <w:rFonts w:ascii="Cambria" w:hAnsi="Cambria" w:cs="Arial"/>
          <w:sz w:val="24"/>
          <w:szCs w:val="24"/>
        </w:rPr>
        <w:t xml:space="preserve"> homokos kavics ágyazatra épül</w:t>
      </w:r>
      <w:r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ek. Kimosás ellen kavicspaplan terítés készül</w:t>
      </w:r>
      <w:r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. Ahol az árokelemek az adottságok miatt megközelít</w:t>
      </w:r>
      <w:r w:rsidRPr="005F6EAC">
        <w:rPr>
          <w:rFonts w:ascii="Cambria" w:hAnsi="Cambria" w:cs="Arial"/>
          <w:sz w:val="24"/>
          <w:szCs w:val="24"/>
        </w:rPr>
        <w:t>etté</w:t>
      </w:r>
      <w:r w:rsidRPr="005F6EAC">
        <w:rPr>
          <w:rFonts w:ascii="Cambria" w:hAnsi="Cambria" w:cs="Arial"/>
          <w:sz w:val="24"/>
          <w:szCs w:val="24"/>
        </w:rPr>
        <w:t>k a burkolatot</w:t>
      </w:r>
      <w:r w:rsidRPr="005F6EAC">
        <w:rPr>
          <w:rFonts w:ascii="Cambria" w:hAnsi="Cambria" w:cs="Arial"/>
          <w:sz w:val="24"/>
          <w:szCs w:val="24"/>
        </w:rPr>
        <w:t>, ott</w:t>
      </w:r>
      <w:r w:rsidRPr="005F6EAC">
        <w:rPr>
          <w:rFonts w:ascii="Cambria" w:hAnsi="Cambria" w:cs="Arial"/>
          <w:sz w:val="24"/>
          <w:szCs w:val="24"/>
        </w:rPr>
        <w:t xml:space="preserve"> az árok fedett kivitelben épül</w:t>
      </w:r>
      <w:r w:rsidRPr="005F6EAC">
        <w:rPr>
          <w:rFonts w:ascii="Cambria" w:hAnsi="Cambria" w:cs="Arial"/>
          <w:sz w:val="24"/>
          <w:szCs w:val="24"/>
        </w:rPr>
        <w:t>tek meg</w:t>
      </w:r>
      <w:r w:rsidRPr="005F6EAC">
        <w:rPr>
          <w:rFonts w:ascii="Cambria" w:hAnsi="Cambria" w:cs="Arial"/>
          <w:sz w:val="24"/>
          <w:szCs w:val="24"/>
        </w:rPr>
        <w:t>. A burkolt árok teljes hosszban energiatörővel épül</w:t>
      </w:r>
      <w:r w:rsidR="005F6EAC"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. Az elvezetendő csapadékvíz-hozamot a tervezés során a területre érvényes mértékadó intenzitású és előfordulási valószínűségű csapadék értéke alapján lett figyelembe véve.</w:t>
      </w:r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 xml:space="preserve">A Kékesi úti árok vízgyűjtő területéről a terepviszonyok miatt nagy sebességgel lezúduló vizek miatt burkolt vízelvezető árok kiépítése </w:t>
      </w:r>
      <w:r w:rsidR="005F6EAC" w:rsidRPr="005F6EAC">
        <w:rPr>
          <w:rFonts w:ascii="Cambria" w:hAnsi="Cambria" w:cs="Arial"/>
          <w:sz w:val="24"/>
          <w:szCs w:val="24"/>
        </w:rPr>
        <w:t xml:space="preserve">volt </w:t>
      </w:r>
      <w:r w:rsidRPr="005F6EAC">
        <w:rPr>
          <w:rFonts w:ascii="Cambria" w:hAnsi="Cambria" w:cs="Arial"/>
          <w:sz w:val="24"/>
          <w:szCs w:val="24"/>
        </w:rPr>
        <w:t>szükséges. A Hársfa utcai útárok vízgyűjtő területe lankásabb, a meglévő földmedrű árok vízemésztő képessége a szükséges munkálatokat (tisztítás, profilozás, átereszek cseréje) követően megfelelővé vál</w:t>
      </w:r>
      <w:r w:rsidR="005F6EAC"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 xml:space="preserve"> a tárgyi területen keletkező vízmennyiség elszállítására.</w:t>
      </w:r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Épül</w:t>
      </w:r>
      <w:r w:rsidR="005F6EAC" w:rsidRPr="005F6EAC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 xml:space="preserve"> összesen:</w:t>
      </w:r>
    </w:p>
    <w:p w:rsidR="005367E5" w:rsidRPr="005F6EAC" w:rsidRDefault="005367E5" w:rsidP="005367E5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A-1: 658.00 m csatorna (210 m csőáteresz, 71 m burkolt árok (előregyártott mederelemekből), 377 m burkolt árok (előregyártott támfalas mederelemekből)</w:t>
      </w:r>
      <w:r w:rsidR="005F6EAC">
        <w:rPr>
          <w:rFonts w:ascii="Cambria" w:hAnsi="Cambria" w:cs="Arial"/>
          <w:sz w:val="24"/>
          <w:szCs w:val="24"/>
        </w:rPr>
        <w:t>.</w:t>
      </w:r>
    </w:p>
    <w:p w:rsidR="005367E5" w:rsidRPr="005F6EAC" w:rsidRDefault="005367E5" w:rsidP="005367E5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A-2: 435.00</w:t>
      </w:r>
      <w:r w:rsidR="005F6EAC">
        <w:rPr>
          <w:rFonts w:ascii="Cambria" w:hAnsi="Cambria" w:cs="Arial"/>
          <w:sz w:val="24"/>
          <w:szCs w:val="24"/>
        </w:rPr>
        <w:t xml:space="preserve"> </w:t>
      </w:r>
      <w:r w:rsidRPr="005F6EAC">
        <w:rPr>
          <w:rFonts w:ascii="Cambria" w:hAnsi="Cambria" w:cs="Arial"/>
          <w:sz w:val="24"/>
          <w:szCs w:val="24"/>
        </w:rPr>
        <w:t>m csatorna (60</w:t>
      </w:r>
      <w:r w:rsidR="005F6EAC">
        <w:rPr>
          <w:rFonts w:ascii="Cambria" w:hAnsi="Cambria" w:cs="Arial"/>
          <w:sz w:val="24"/>
          <w:szCs w:val="24"/>
        </w:rPr>
        <w:t xml:space="preserve"> </w:t>
      </w:r>
      <w:r w:rsidRPr="005F6EAC">
        <w:rPr>
          <w:rFonts w:ascii="Cambria" w:hAnsi="Cambria" w:cs="Arial"/>
          <w:sz w:val="24"/>
          <w:szCs w:val="24"/>
        </w:rPr>
        <w:t>m csőáteresz, 297 m burkolt árok (előregyártott mederelemekből), 78</w:t>
      </w:r>
      <w:r w:rsidR="005F6EAC">
        <w:rPr>
          <w:rFonts w:ascii="Cambria" w:hAnsi="Cambria" w:cs="Arial"/>
          <w:sz w:val="24"/>
          <w:szCs w:val="24"/>
        </w:rPr>
        <w:t xml:space="preserve"> </w:t>
      </w:r>
      <w:r w:rsidRPr="005F6EAC">
        <w:rPr>
          <w:rFonts w:ascii="Cambria" w:hAnsi="Cambria" w:cs="Arial"/>
          <w:sz w:val="24"/>
          <w:szCs w:val="24"/>
        </w:rPr>
        <w:t>m burkolt árok (előregyártott mederelemekből) fedett kivitelű)</w:t>
      </w:r>
      <w:r w:rsidR="005F6EAC">
        <w:rPr>
          <w:rFonts w:ascii="Cambria" w:hAnsi="Cambria" w:cs="Arial"/>
          <w:sz w:val="24"/>
          <w:szCs w:val="24"/>
        </w:rPr>
        <w:t>.</w:t>
      </w:r>
    </w:p>
    <w:p w:rsidR="005367E5" w:rsidRPr="005F6EAC" w:rsidRDefault="005367E5" w:rsidP="005367E5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 xml:space="preserve">A csatorna- és árokszakaszok, illetve a csőátereszek (különböző esésviszonyokkal) a szükséges vízmennyiséget a méretezés alapján el tudják szállítani. A tervezett árkok a burkolattal párhuzamosan épülnek, 3 helyen keresztezve azt. A tervezett burkolt árkok, folyókák, zárt gravitációs gyűjtőcsatornák és az átereszek </w:t>
      </w:r>
      <w:r w:rsidR="003154D8">
        <w:rPr>
          <w:rFonts w:ascii="Cambria" w:hAnsi="Cambria" w:cs="Arial"/>
          <w:sz w:val="24"/>
          <w:szCs w:val="24"/>
        </w:rPr>
        <w:t>k</w:t>
      </w:r>
      <w:r w:rsidRPr="005F6EAC">
        <w:rPr>
          <w:rFonts w:ascii="Cambria" w:hAnsi="Cambria" w:cs="Arial"/>
          <w:sz w:val="24"/>
          <w:szCs w:val="24"/>
        </w:rPr>
        <w:t>ialakítás</w:t>
      </w:r>
      <w:r w:rsidR="003154D8">
        <w:rPr>
          <w:rFonts w:ascii="Cambria" w:hAnsi="Cambria" w:cs="Arial"/>
          <w:sz w:val="24"/>
          <w:szCs w:val="24"/>
        </w:rPr>
        <w:t>á</w:t>
      </w:r>
      <w:r w:rsidRPr="005F6EAC">
        <w:rPr>
          <w:rFonts w:ascii="Cambria" w:hAnsi="Cambria" w:cs="Arial"/>
          <w:sz w:val="24"/>
          <w:szCs w:val="24"/>
        </w:rPr>
        <w:t>nál figyelembev</w:t>
      </w:r>
      <w:r w:rsidR="003154D8">
        <w:rPr>
          <w:rFonts w:ascii="Cambria" w:hAnsi="Cambria" w:cs="Arial"/>
          <w:sz w:val="24"/>
          <w:szCs w:val="24"/>
        </w:rPr>
        <w:t>é</w:t>
      </w:r>
      <w:r w:rsidRPr="005F6EAC">
        <w:rPr>
          <w:rFonts w:ascii="Cambria" w:hAnsi="Cambria" w:cs="Arial"/>
          <w:sz w:val="24"/>
          <w:szCs w:val="24"/>
        </w:rPr>
        <w:t>t</w:t>
      </w:r>
      <w:r w:rsidR="003154D8">
        <w:rPr>
          <w:rFonts w:ascii="Cambria" w:hAnsi="Cambria" w:cs="Arial"/>
          <w:sz w:val="24"/>
          <w:szCs w:val="24"/>
        </w:rPr>
        <w:t>elre került</w:t>
      </w:r>
      <w:r w:rsidRPr="005F6EAC">
        <w:rPr>
          <w:rFonts w:ascii="Cambria" w:hAnsi="Cambria" w:cs="Arial"/>
          <w:sz w:val="24"/>
          <w:szCs w:val="24"/>
        </w:rPr>
        <w:t xml:space="preserve"> a meglévő közművezetékek nyomvonal</w:t>
      </w:r>
      <w:r w:rsidR="003154D8">
        <w:rPr>
          <w:rFonts w:ascii="Cambria" w:hAnsi="Cambria" w:cs="Arial"/>
          <w:sz w:val="24"/>
          <w:szCs w:val="24"/>
        </w:rPr>
        <w:t>a</w:t>
      </w:r>
      <w:r w:rsidRPr="005F6EAC">
        <w:rPr>
          <w:rFonts w:ascii="Cambria" w:hAnsi="Cambria" w:cs="Arial"/>
          <w:sz w:val="24"/>
          <w:szCs w:val="24"/>
        </w:rPr>
        <w:t xml:space="preserve">, </w:t>
      </w:r>
      <w:r w:rsidR="003154D8">
        <w:rPr>
          <w:rFonts w:ascii="Cambria" w:hAnsi="Cambria" w:cs="Arial"/>
          <w:sz w:val="24"/>
          <w:szCs w:val="24"/>
        </w:rPr>
        <w:t xml:space="preserve">valamint </w:t>
      </w:r>
      <w:r w:rsidRPr="005F6EAC">
        <w:rPr>
          <w:rFonts w:ascii="Cambria" w:hAnsi="Cambria" w:cs="Arial"/>
          <w:sz w:val="24"/>
          <w:szCs w:val="24"/>
        </w:rPr>
        <w:t>a felszínen mérhető tereptárgyak. Az árokburkolatok előregyártott mederelemekből épül</w:t>
      </w:r>
      <w:r w:rsidR="003154D8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ek, a kapubejáróknál csőátereszek épül</w:t>
      </w:r>
      <w:r w:rsidR="003154D8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ek. A gravitációs csatorna műanyag csőből készül</w:t>
      </w:r>
      <w:r w:rsidR="003154D8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, tokos gumigyűrűs kötéssel. A csőátereszek beton csőből épül</w:t>
      </w:r>
      <w:r w:rsidR="003154D8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ek, gumigyűrűs vagy habarcsos kötéssel. Csatorna és vízvezeték keresztezésben a csatorna 2 m hosszon 10 cm v</w:t>
      </w:r>
      <w:r w:rsidR="005F6EAC">
        <w:rPr>
          <w:rFonts w:ascii="Cambria" w:hAnsi="Cambria" w:cs="Arial"/>
          <w:sz w:val="24"/>
          <w:szCs w:val="24"/>
        </w:rPr>
        <w:t>as</w:t>
      </w:r>
      <w:r w:rsidRPr="005F6EAC">
        <w:rPr>
          <w:rFonts w:ascii="Cambria" w:hAnsi="Cambria" w:cs="Arial"/>
          <w:sz w:val="24"/>
          <w:szCs w:val="24"/>
        </w:rPr>
        <w:t>t</w:t>
      </w:r>
      <w:r w:rsidR="005F6EAC">
        <w:rPr>
          <w:rFonts w:ascii="Cambria" w:hAnsi="Cambria" w:cs="Arial"/>
          <w:sz w:val="24"/>
          <w:szCs w:val="24"/>
        </w:rPr>
        <w:t>a</w:t>
      </w:r>
      <w:r w:rsidRPr="005F6EAC">
        <w:rPr>
          <w:rFonts w:ascii="Cambria" w:hAnsi="Cambria" w:cs="Arial"/>
          <w:sz w:val="24"/>
          <w:szCs w:val="24"/>
        </w:rPr>
        <w:t>g</w:t>
      </w:r>
      <w:r w:rsidR="005F6EAC">
        <w:rPr>
          <w:rFonts w:ascii="Cambria" w:hAnsi="Cambria" w:cs="Arial"/>
          <w:sz w:val="24"/>
          <w:szCs w:val="24"/>
        </w:rPr>
        <w:t>ság</w:t>
      </w:r>
      <w:r w:rsidRPr="005F6EAC">
        <w:rPr>
          <w:rFonts w:ascii="Cambria" w:hAnsi="Cambria" w:cs="Arial"/>
          <w:sz w:val="24"/>
          <w:szCs w:val="24"/>
        </w:rPr>
        <w:t>ban védőbetonban épül</w:t>
      </w:r>
      <w:r w:rsidR="003154D8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>.</w:t>
      </w:r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lastRenderedPageBreak/>
        <w:t>Parád, Hársfa utca csapadékvíz elvezetése:</w:t>
      </w:r>
    </w:p>
    <w:p w:rsidR="005367E5" w:rsidRPr="005F6EAC" w:rsidRDefault="005367E5" w:rsidP="005367E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A Hársfa utca páros oldalán a meglévő árok kerül</w:t>
      </w:r>
      <w:r w:rsidR="003154D8">
        <w:rPr>
          <w:rFonts w:ascii="Cambria" w:hAnsi="Cambria" w:cs="Arial"/>
          <w:sz w:val="24"/>
          <w:szCs w:val="24"/>
        </w:rPr>
        <w:t>t</w:t>
      </w:r>
      <w:r w:rsidRPr="005F6EAC">
        <w:rPr>
          <w:rFonts w:ascii="Cambria" w:hAnsi="Cambria" w:cs="Arial"/>
          <w:sz w:val="24"/>
          <w:szCs w:val="24"/>
        </w:rPr>
        <w:t xml:space="preserve"> felújításra az alábbi paraméterekkel:</w:t>
      </w:r>
    </w:p>
    <w:p w:rsidR="005367E5" w:rsidRPr="005F6EAC" w:rsidRDefault="005367E5" w:rsidP="005367E5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248 m árokrendezés (szelvénybővítés, profilozás),</w:t>
      </w:r>
    </w:p>
    <w:p w:rsidR="005367E5" w:rsidRPr="005F6EAC" w:rsidRDefault="005367E5" w:rsidP="005367E5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~90 m meglévő átereszek elbontása,</w:t>
      </w:r>
    </w:p>
    <w:p w:rsidR="005367E5" w:rsidRPr="005F6EAC" w:rsidRDefault="005367E5" w:rsidP="005367E5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 xml:space="preserve">110 m O40 </w:t>
      </w:r>
      <w:proofErr w:type="spellStart"/>
      <w:r w:rsidRPr="005F6EAC">
        <w:rPr>
          <w:rFonts w:ascii="Cambria" w:hAnsi="Cambria" w:cs="Arial"/>
          <w:sz w:val="24"/>
          <w:szCs w:val="24"/>
        </w:rPr>
        <w:t>b.</w:t>
      </w:r>
      <w:proofErr w:type="spellEnd"/>
      <w:r w:rsidRPr="005F6EAC">
        <w:rPr>
          <w:rFonts w:ascii="Cambria" w:hAnsi="Cambria" w:cs="Arial"/>
          <w:sz w:val="24"/>
          <w:szCs w:val="24"/>
        </w:rPr>
        <w:t xml:space="preserve"> csőáteresz beépítése (22 ingatlan x 5,0</w:t>
      </w:r>
      <w:r w:rsidR="005F6EAC">
        <w:rPr>
          <w:rFonts w:ascii="Cambria" w:hAnsi="Cambria" w:cs="Arial"/>
          <w:sz w:val="24"/>
          <w:szCs w:val="24"/>
        </w:rPr>
        <w:t xml:space="preserve"> </w:t>
      </w:r>
      <w:r w:rsidRPr="005F6EAC">
        <w:rPr>
          <w:rFonts w:ascii="Cambria" w:hAnsi="Cambria" w:cs="Arial"/>
          <w:sz w:val="24"/>
          <w:szCs w:val="24"/>
        </w:rPr>
        <w:t>m),</w:t>
      </w:r>
    </w:p>
    <w:p w:rsidR="0070134F" w:rsidRPr="005F6EAC" w:rsidRDefault="005367E5" w:rsidP="005367E5">
      <w:pPr>
        <w:rPr>
          <w:rFonts w:ascii="Cambria" w:hAnsi="Cambria" w:cs="Arial"/>
          <w:sz w:val="24"/>
          <w:szCs w:val="24"/>
        </w:rPr>
      </w:pPr>
      <w:r w:rsidRPr="005F6EAC">
        <w:rPr>
          <w:rFonts w:ascii="Cambria" w:hAnsi="Cambria" w:cs="Arial"/>
          <w:sz w:val="24"/>
          <w:szCs w:val="24"/>
        </w:rPr>
        <w:t>44 db áteresz végfal (22 ingatlan x 2 db) Az építési munkák tartalmazzák az alépítményi munkákat (földmunka, tükör, ágyazat, tömörítés).</w:t>
      </w:r>
    </w:p>
    <w:p w:rsidR="005F6EAC" w:rsidRDefault="005F6EAC" w:rsidP="005367E5">
      <w:pPr>
        <w:rPr>
          <w:rFonts w:ascii="Cambria" w:hAnsi="Cambria" w:cs="Arial"/>
          <w:sz w:val="24"/>
          <w:szCs w:val="24"/>
        </w:rPr>
      </w:pPr>
    </w:p>
    <w:p w:rsidR="003154D8" w:rsidRDefault="003154D8" w:rsidP="005367E5">
      <w:pPr>
        <w:rPr>
          <w:rFonts w:ascii="Cambria" w:hAnsi="Cambria" w:cs="Arial"/>
          <w:sz w:val="24"/>
          <w:szCs w:val="24"/>
        </w:rPr>
      </w:pPr>
    </w:p>
    <w:p w:rsidR="005F6EAC" w:rsidRDefault="003154D8" w:rsidP="005367E5">
      <w:pPr>
        <w:rPr>
          <w:rFonts w:ascii="Cambria" w:hAnsi="Cambria" w:cs="Arial"/>
          <w:sz w:val="24"/>
          <w:szCs w:val="24"/>
        </w:rPr>
      </w:pPr>
      <w:r>
        <w:rPr>
          <w:noProof/>
        </w:rPr>
        <w:drawing>
          <wp:inline distT="0" distB="0" distL="0" distR="0" wp14:anchorId="1484C43A" wp14:editId="356E4D0C">
            <wp:extent cx="5760720" cy="3600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AC" w:rsidRPr="005F6EAC" w:rsidRDefault="005F6EAC" w:rsidP="005367E5">
      <w:pPr>
        <w:rPr>
          <w:rFonts w:ascii="Cambria" w:hAnsi="Cambria"/>
          <w:sz w:val="24"/>
          <w:szCs w:val="24"/>
        </w:rPr>
      </w:pPr>
    </w:p>
    <w:sectPr w:rsidR="005F6EAC" w:rsidRPr="005F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0717"/>
    <w:multiLevelType w:val="hybridMultilevel"/>
    <w:tmpl w:val="40D82568"/>
    <w:lvl w:ilvl="0" w:tplc="05C0E90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E8F"/>
    <w:multiLevelType w:val="hybridMultilevel"/>
    <w:tmpl w:val="BBF89F38"/>
    <w:lvl w:ilvl="0" w:tplc="05C0E90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E5"/>
    <w:rsid w:val="003154D8"/>
    <w:rsid w:val="005367E5"/>
    <w:rsid w:val="005F6EAC"/>
    <w:rsid w:val="007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2372"/>
  <w15:chartTrackingRefBased/>
  <w15:docId w15:val="{33607A14-6A69-41E8-A0B5-8A01270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6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Szabolcs</dc:creator>
  <cp:keywords/>
  <dc:description/>
  <cp:lastModifiedBy>Hajdú Szabolcs</cp:lastModifiedBy>
  <cp:revision>1</cp:revision>
  <dcterms:created xsi:type="dcterms:W3CDTF">2020-03-04T14:04:00Z</dcterms:created>
  <dcterms:modified xsi:type="dcterms:W3CDTF">2020-03-04T14:55:00Z</dcterms:modified>
</cp:coreProperties>
</file>